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CRF2-S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CRF2-S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$5,825.00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$5,825.00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Power Cable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$6,725.00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$6,725.00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$6,859.50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$6,926.75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$6,994.00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$7,128.50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https://buy.stripe.com/fZe3cSdQA0nTecMfZe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fZe3cSdQA0nTecMfZ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