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Merck Animal Health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Merck Animal Health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Olivia Stanhope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Olivia Stanhope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Merck Animal Hospital 697 East Gateway Drive Worthington, MN 56187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02/08/2023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Merck Animal Hospital 697 East Gateway Drive Worthington, MN 56187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5 Micron DRY POWDER, PSL Spheres, Polystyrene Divinylbenzene (PS-DVB)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$851.70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$860.05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$868.40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$885.10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https://buy.stripe.com/fZedRw13O5IdfgQaFs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fZedRw13O5IdfgQaF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