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102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30/06/2023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CRF2-Shipping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$153.00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$154.50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$156.00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$159.00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